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D004F5" w14:textId="43FC0068" w:rsidR="00B92E0F" w:rsidRDefault="00B92E0F" w:rsidP="00B92E0F">
      <w:pPr>
        <w:spacing w:after="0" w:line="240" w:lineRule="auto"/>
        <w:jc w:val="center"/>
        <w:rPr>
          <w:rFonts w:ascii="Times New Roman" w:hAnsi="Times New Roman"/>
          <w:b/>
          <w:sz w:val="24"/>
          <w:szCs w:val="24"/>
        </w:rPr>
      </w:pPr>
      <w:r>
        <w:rPr>
          <w:noProof/>
          <w:lang w:eastAsia="ru-RU"/>
        </w:rPr>
        <w:drawing>
          <wp:inline distT="0" distB="0" distL="0" distR="0" wp14:anchorId="179A843E" wp14:editId="3545708F">
            <wp:extent cx="593725" cy="593725"/>
            <wp:effectExtent l="0" t="0" r="0" b="0"/>
            <wp:docPr id="88705110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25" cy="593725"/>
                    </a:xfrm>
                    <a:prstGeom prst="rect">
                      <a:avLst/>
                    </a:prstGeom>
                    <a:noFill/>
                    <a:ln>
                      <a:noFill/>
                    </a:ln>
                  </pic:spPr>
                </pic:pic>
              </a:graphicData>
            </a:graphic>
          </wp:inline>
        </w:drawing>
      </w:r>
    </w:p>
    <w:p w14:paraId="505AFAF4" w14:textId="77777777" w:rsidR="00B92E0F" w:rsidRDefault="00B92E0F" w:rsidP="00B92E0F">
      <w:pPr>
        <w:spacing w:after="0" w:line="240" w:lineRule="auto"/>
        <w:jc w:val="center"/>
        <w:rPr>
          <w:rFonts w:ascii="Times New Roman" w:hAnsi="Times New Roman"/>
          <w:b/>
          <w:sz w:val="24"/>
          <w:szCs w:val="24"/>
        </w:rPr>
      </w:pPr>
    </w:p>
    <w:p w14:paraId="4D5A3536" w14:textId="77777777" w:rsidR="00B92E0F" w:rsidRDefault="00B92E0F" w:rsidP="00B92E0F">
      <w:pPr>
        <w:spacing w:after="0" w:line="240" w:lineRule="auto"/>
        <w:jc w:val="center"/>
        <w:rPr>
          <w:rFonts w:ascii="Times New Roman" w:hAnsi="Times New Roman"/>
          <w:b/>
          <w:sz w:val="24"/>
          <w:szCs w:val="24"/>
        </w:rPr>
      </w:pPr>
      <w:r>
        <w:rPr>
          <w:rFonts w:ascii="Times New Roman" w:hAnsi="Times New Roman"/>
          <w:b/>
          <w:sz w:val="24"/>
          <w:szCs w:val="24"/>
        </w:rPr>
        <w:t>КОНТРОЛЬНО-СЧЕТНАЯ ПАЛАТА ЗЛАТОУСТОВСКОГО ГОРОДСКОГО ОКРУГА</w:t>
      </w:r>
    </w:p>
    <w:p w14:paraId="18B838E7" w14:textId="12D4C142" w:rsidR="00B92E0F" w:rsidRDefault="00B92E0F" w:rsidP="00B92E0F">
      <w:pPr>
        <w:spacing w:after="0" w:line="240" w:lineRule="auto"/>
        <w:jc w:val="center"/>
        <w:rPr>
          <w:rFonts w:ascii="Times New Roman" w:hAnsi="Times New Roman"/>
          <w:sz w:val="28"/>
          <w:szCs w:val="28"/>
        </w:rPr>
      </w:pPr>
      <w:r>
        <w:rPr>
          <w:noProof/>
          <w:lang w:eastAsia="ru-RU"/>
        </w:rPr>
        <mc:AlternateContent>
          <mc:Choice Requires="wps">
            <w:drawing>
              <wp:anchor distT="4294967294" distB="4294967294" distL="114300" distR="114300" simplePos="0" relativeHeight="251658240" behindDoc="0" locked="0" layoutInCell="1" allowOverlap="1" wp14:anchorId="0EA2D38D" wp14:editId="4A3CA00C">
                <wp:simplePos x="0" y="0"/>
                <wp:positionH relativeFrom="column">
                  <wp:posOffset>-125730</wp:posOffset>
                </wp:positionH>
                <wp:positionV relativeFrom="paragraph">
                  <wp:posOffset>93345</wp:posOffset>
                </wp:positionV>
                <wp:extent cx="6286500" cy="0"/>
                <wp:effectExtent l="0" t="0" r="0" b="0"/>
                <wp:wrapNone/>
                <wp:docPr id="5"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6FA61F" id="Прямая соединительная линия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pt,7.35pt" to="485.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" strokeweight="2pt"/>
            </w:pict>
          </mc:Fallback>
        </mc:AlternateContent>
      </w:r>
    </w:p>
    <w:p w14:paraId="6E6BB90D" w14:textId="77777777" w:rsidR="00B92E0F" w:rsidRDefault="00B92E0F" w:rsidP="00B92E0F">
      <w:pPr>
        <w:spacing w:after="0" w:line="240" w:lineRule="auto"/>
        <w:jc w:val="center"/>
        <w:rPr>
          <w:rFonts w:ascii="Times New Roman" w:hAnsi="Times New Roman"/>
          <w:b/>
          <w:sz w:val="28"/>
          <w:szCs w:val="28"/>
        </w:rPr>
      </w:pPr>
      <w:r>
        <w:rPr>
          <w:rFonts w:ascii="Times New Roman" w:hAnsi="Times New Roman"/>
          <w:b/>
          <w:sz w:val="28"/>
          <w:szCs w:val="28"/>
        </w:rPr>
        <w:t xml:space="preserve">ИНФОРМАЦИЯ О РЕЗУЛЬТАТАХ </w:t>
      </w:r>
    </w:p>
    <w:p w14:paraId="35A71E56" w14:textId="77777777" w:rsidR="00B92E0F" w:rsidRDefault="00B92E0F" w:rsidP="00B92E0F">
      <w:pPr>
        <w:spacing w:after="0" w:line="240" w:lineRule="auto"/>
        <w:jc w:val="center"/>
        <w:rPr>
          <w:rFonts w:ascii="Times New Roman" w:hAnsi="Times New Roman"/>
          <w:b/>
          <w:sz w:val="28"/>
          <w:szCs w:val="28"/>
        </w:rPr>
      </w:pPr>
      <w:r>
        <w:rPr>
          <w:rFonts w:ascii="Times New Roman" w:hAnsi="Times New Roman"/>
          <w:b/>
          <w:sz w:val="28"/>
          <w:szCs w:val="28"/>
        </w:rPr>
        <w:t xml:space="preserve">ЭКСПЕРТНО-АНАЛИТИЧЕСКОГО МЕРОПРИЯТИЯ </w:t>
      </w:r>
    </w:p>
    <w:p w14:paraId="67439165" w14:textId="77777777" w:rsidR="00B92E0F" w:rsidRPr="00A145A6" w:rsidRDefault="00B92E0F" w:rsidP="00B92E0F">
      <w:pPr>
        <w:spacing w:after="0" w:line="240" w:lineRule="auto"/>
        <w:jc w:val="center"/>
        <w:rPr>
          <w:rFonts w:ascii="Times New Roman" w:hAnsi="Times New Roman" w:cs="Times New Roman"/>
          <w:b/>
          <w:bCs/>
          <w:sz w:val="14"/>
          <w:szCs w:val="14"/>
        </w:rPr>
      </w:pPr>
    </w:p>
    <w:p w14:paraId="20FA12DA" w14:textId="3FCDA01F" w:rsidR="0032519F" w:rsidRPr="000D6A5C" w:rsidRDefault="00B92E0F" w:rsidP="0032519F">
      <w:pPr>
        <w:spacing w:after="0" w:line="240" w:lineRule="auto"/>
        <w:jc w:val="center"/>
        <w:rPr>
          <w:rFonts w:ascii="Times New Roman" w:hAnsi="Times New Roman"/>
          <w:b/>
          <w:sz w:val="28"/>
          <w:szCs w:val="28"/>
        </w:rPr>
      </w:pPr>
      <w:r>
        <w:rPr>
          <w:rFonts w:ascii="Times New Roman" w:hAnsi="Times New Roman" w:cs="Times New Roman"/>
          <w:b/>
          <w:bCs/>
          <w:sz w:val="28"/>
          <w:szCs w:val="28"/>
        </w:rPr>
        <w:t>«</w:t>
      </w:r>
      <w:r w:rsidR="001E6951">
        <w:rPr>
          <w:rFonts w:ascii="Times New Roman" w:eastAsia="Calibri" w:hAnsi="Times New Roman" w:cs="Times New Roman"/>
          <w:b/>
          <w:sz w:val="28"/>
          <w:szCs w:val="28"/>
        </w:rPr>
        <w:t>Э</w:t>
      </w:r>
      <w:r w:rsidR="001E6951" w:rsidRPr="001E6951">
        <w:rPr>
          <w:rFonts w:ascii="Times New Roman" w:eastAsia="Calibri" w:hAnsi="Times New Roman" w:cs="Times New Roman"/>
          <w:b/>
          <w:sz w:val="28"/>
          <w:szCs w:val="28"/>
        </w:rPr>
        <w:t>кспертиз</w:t>
      </w:r>
      <w:r w:rsidR="001E6951">
        <w:rPr>
          <w:rFonts w:ascii="Times New Roman" w:eastAsia="Calibri" w:hAnsi="Times New Roman" w:cs="Times New Roman"/>
          <w:b/>
          <w:sz w:val="28"/>
          <w:szCs w:val="28"/>
        </w:rPr>
        <w:t>а</w:t>
      </w:r>
      <w:r w:rsidR="001E6951" w:rsidRPr="001E6951">
        <w:rPr>
          <w:rFonts w:ascii="Times New Roman" w:eastAsia="Calibri" w:hAnsi="Times New Roman" w:cs="Times New Roman"/>
          <w:b/>
          <w:sz w:val="28"/>
          <w:szCs w:val="28"/>
        </w:rPr>
        <w:t xml:space="preserve"> </w:t>
      </w:r>
      <w:bookmarkStart w:id="0" w:name="_Hlk144892101"/>
      <w:r w:rsidR="001E6951" w:rsidRPr="001E6951">
        <w:rPr>
          <w:rFonts w:ascii="Times New Roman" w:eastAsia="Calibri" w:hAnsi="Times New Roman" w:cs="Times New Roman"/>
          <w:b/>
          <w:sz w:val="28"/>
          <w:szCs w:val="28"/>
        </w:rPr>
        <w:t xml:space="preserve">муниципальной </w:t>
      </w:r>
      <w:r w:rsidR="001E6951" w:rsidRPr="000D6A5C">
        <w:rPr>
          <w:rFonts w:ascii="Times New Roman" w:eastAsia="Calibri" w:hAnsi="Times New Roman" w:cs="Times New Roman"/>
          <w:b/>
          <w:sz w:val="28"/>
          <w:szCs w:val="28"/>
        </w:rPr>
        <w:t>программы «</w:t>
      </w:r>
      <w:r w:rsidR="000D6A5C" w:rsidRPr="000D6A5C">
        <w:rPr>
          <w:rFonts w:ascii="Times New Roman" w:eastAsia="Calibri" w:hAnsi="Times New Roman" w:cs="Times New Roman"/>
          <w:b/>
          <w:sz w:val="28"/>
          <w:szCs w:val="28"/>
        </w:rPr>
        <w:t>Обеспечение качественным жильем населения Златоустовского городского округа</w:t>
      </w:r>
      <w:r w:rsidR="001E6951" w:rsidRPr="000D6A5C">
        <w:rPr>
          <w:rFonts w:ascii="Times New Roman" w:eastAsia="Calibri" w:hAnsi="Times New Roman" w:cs="Times New Roman"/>
          <w:b/>
          <w:sz w:val="28"/>
          <w:szCs w:val="28"/>
        </w:rPr>
        <w:t>»</w:t>
      </w:r>
      <w:bookmarkEnd w:id="0"/>
    </w:p>
    <w:p w14:paraId="262DCCD3" w14:textId="34B1F1E3" w:rsidR="00B92E0F" w:rsidRPr="00A145A6" w:rsidRDefault="00B92E0F" w:rsidP="00B92E0F">
      <w:pPr>
        <w:spacing w:after="0" w:line="240" w:lineRule="auto"/>
        <w:ind w:firstLine="709"/>
        <w:jc w:val="center"/>
        <w:rPr>
          <w:rFonts w:ascii="Times New Roman" w:hAnsi="Times New Roman" w:cs="Times New Roman"/>
          <w:sz w:val="20"/>
          <w:szCs w:val="20"/>
        </w:rPr>
      </w:pPr>
    </w:p>
    <w:p w14:paraId="0DDCE329" w14:textId="615C4600" w:rsidR="00B92E0F" w:rsidRDefault="00B92E0F" w:rsidP="00B92E0F">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соответствии со статьей 157 Бюджетного кодекса РФ, </w:t>
      </w:r>
      <w:r w:rsidR="001E6951">
        <w:rPr>
          <w:rFonts w:ascii="Times New Roman" w:hAnsi="Times New Roman"/>
          <w:sz w:val="28"/>
          <w:szCs w:val="28"/>
        </w:rPr>
        <w:t xml:space="preserve">со статьей 9 </w:t>
      </w:r>
      <w:r w:rsidR="001E6951" w:rsidRPr="001E6951">
        <w:rPr>
          <w:rFonts w:ascii="Times New Roman" w:hAnsi="Times New Roman"/>
          <w:sz w:val="28"/>
          <w:szCs w:val="28"/>
        </w:rPr>
        <w:t>Федеральн</w:t>
      </w:r>
      <w:r w:rsidR="001E6951">
        <w:rPr>
          <w:rFonts w:ascii="Times New Roman" w:hAnsi="Times New Roman"/>
          <w:sz w:val="28"/>
          <w:szCs w:val="28"/>
        </w:rPr>
        <w:t>ого</w:t>
      </w:r>
      <w:r w:rsidR="001E6951" w:rsidRPr="001E6951">
        <w:rPr>
          <w:rFonts w:ascii="Times New Roman" w:hAnsi="Times New Roman"/>
          <w:sz w:val="28"/>
          <w:szCs w:val="28"/>
        </w:rPr>
        <w:t xml:space="preserve"> закон</w:t>
      </w:r>
      <w:r w:rsidR="001E6951">
        <w:rPr>
          <w:rFonts w:ascii="Times New Roman" w:hAnsi="Times New Roman"/>
          <w:sz w:val="28"/>
          <w:szCs w:val="28"/>
        </w:rPr>
        <w:t>а</w:t>
      </w:r>
      <w:r w:rsidR="001E6951" w:rsidRPr="001E6951">
        <w:rPr>
          <w:rFonts w:ascii="Times New Roman" w:hAnsi="Times New Roman"/>
          <w:sz w:val="28"/>
          <w:szCs w:val="28"/>
        </w:rPr>
        <w:t xml:space="preserve"> от </w:t>
      </w:r>
      <w:r w:rsidR="001E6951">
        <w:rPr>
          <w:rFonts w:ascii="Times New Roman" w:hAnsi="Times New Roman"/>
          <w:sz w:val="28"/>
          <w:szCs w:val="28"/>
        </w:rPr>
        <w:t>0</w:t>
      </w:r>
      <w:r w:rsidR="001E6951" w:rsidRPr="001E6951">
        <w:rPr>
          <w:rFonts w:ascii="Times New Roman" w:hAnsi="Times New Roman"/>
          <w:sz w:val="28"/>
          <w:szCs w:val="28"/>
        </w:rPr>
        <w:t>7</w:t>
      </w:r>
      <w:r w:rsidR="001E6951">
        <w:rPr>
          <w:rFonts w:ascii="Times New Roman" w:hAnsi="Times New Roman"/>
          <w:sz w:val="28"/>
          <w:szCs w:val="28"/>
        </w:rPr>
        <w:t>.02.</w:t>
      </w:r>
      <w:r w:rsidR="001E6951" w:rsidRPr="001E6951">
        <w:rPr>
          <w:rFonts w:ascii="Times New Roman" w:hAnsi="Times New Roman"/>
          <w:sz w:val="28"/>
          <w:szCs w:val="28"/>
        </w:rPr>
        <w:t>2011 г.</w:t>
      </w:r>
      <w:r w:rsidR="001E6951">
        <w:rPr>
          <w:rFonts w:ascii="Times New Roman" w:hAnsi="Times New Roman"/>
          <w:sz w:val="28"/>
          <w:szCs w:val="28"/>
        </w:rPr>
        <w:t xml:space="preserve"> №</w:t>
      </w:r>
      <w:r w:rsidR="001E6951" w:rsidRPr="001E6951">
        <w:rPr>
          <w:rFonts w:ascii="Times New Roman" w:hAnsi="Times New Roman"/>
          <w:sz w:val="28"/>
          <w:szCs w:val="28"/>
        </w:rPr>
        <w:t>6-ФЗ</w:t>
      </w:r>
      <w:r w:rsidR="001E6951">
        <w:rPr>
          <w:rFonts w:ascii="Times New Roman" w:hAnsi="Times New Roman"/>
          <w:sz w:val="28"/>
          <w:szCs w:val="28"/>
        </w:rPr>
        <w:t xml:space="preserve"> </w:t>
      </w:r>
      <w:r w:rsidR="001E6951" w:rsidRPr="001E6951">
        <w:rPr>
          <w:rFonts w:ascii="Times New Roman" w:hAnsi="Times New Roman"/>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r w:rsidR="001E6951">
        <w:rPr>
          <w:rFonts w:ascii="Times New Roman" w:hAnsi="Times New Roman"/>
          <w:sz w:val="28"/>
          <w:szCs w:val="28"/>
        </w:rPr>
        <w:t xml:space="preserve">, </w:t>
      </w:r>
      <w:r>
        <w:rPr>
          <w:rFonts w:ascii="Times New Roman" w:hAnsi="Times New Roman"/>
          <w:color w:val="000000"/>
          <w:sz w:val="28"/>
          <w:szCs w:val="28"/>
        </w:rPr>
        <w:t xml:space="preserve">пунктом 12 </w:t>
      </w:r>
      <w:r>
        <w:rPr>
          <w:rFonts w:ascii="Times New Roman" w:hAnsi="Times New Roman"/>
          <w:sz w:val="28"/>
          <w:szCs w:val="28"/>
        </w:rPr>
        <w:t xml:space="preserve">Положения о бюджетном процессе, пунктом 38 Положения о </w:t>
      </w:r>
      <w:bookmarkStart w:id="1" w:name="_Hlk128756140"/>
      <w:r>
        <w:rPr>
          <w:rFonts w:ascii="Times New Roman" w:hAnsi="Times New Roman"/>
          <w:sz w:val="28"/>
          <w:szCs w:val="28"/>
        </w:rPr>
        <w:t>Контрольно-счетной палате ЗГО</w:t>
      </w:r>
      <w:bookmarkEnd w:id="1"/>
      <w:r>
        <w:rPr>
          <w:rFonts w:ascii="Times New Roman" w:hAnsi="Times New Roman"/>
          <w:sz w:val="28"/>
          <w:szCs w:val="28"/>
        </w:rPr>
        <w:t xml:space="preserve"> проведена экспертиза </w:t>
      </w:r>
      <w:r w:rsidR="001E6951" w:rsidRPr="001E6951">
        <w:rPr>
          <w:rFonts w:ascii="Times New Roman" w:hAnsi="Times New Roman"/>
          <w:bCs/>
          <w:sz w:val="28"/>
          <w:szCs w:val="28"/>
        </w:rPr>
        <w:t>муниципальной программы «</w:t>
      </w:r>
      <w:bookmarkStart w:id="2" w:name="_Hlk162877220"/>
      <w:r w:rsidR="00DA00FB" w:rsidRPr="00DA00FB">
        <w:rPr>
          <w:rFonts w:ascii="Times New Roman" w:eastAsia="Calibri" w:hAnsi="Times New Roman" w:cs="Times New Roman"/>
          <w:sz w:val="28"/>
          <w:szCs w:val="28"/>
        </w:rPr>
        <w:t>Обеспечение качественным жильем населения Златоустовского городского округа</w:t>
      </w:r>
      <w:bookmarkEnd w:id="2"/>
      <w:r w:rsidR="001E6951" w:rsidRPr="001E6951">
        <w:rPr>
          <w:rFonts w:ascii="Times New Roman" w:hAnsi="Times New Roman"/>
          <w:bCs/>
          <w:sz w:val="28"/>
          <w:szCs w:val="28"/>
        </w:rPr>
        <w:t>»</w:t>
      </w:r>
      <w:r w:rsidR="00731992" w:rsidRPr="001E6951">
        <w:rPr>
          <w:rFonts w:ascii="Times New Roman" w:hAnsi="Times New Roman"/>
          <w:bCs/>
          <w:sz w:val="28"/>
          <w:szCs w:val="28"/>
        </w:rPr>
        <w:t>,</w:t>
      </w:r>
      <w:r w:rsidR="00731992">
        <w:rPr>
          <w:rFonts w:ascii="Times New Roman" w:hAnsi="Times New Roman"/>
          <w:sz w:val="28"/>
          <w:szCs w:val="28"/>
        </w:rPr>
        <w:t xml:space="preserve"> </w:t>
      </w:r>
      <w:r>
        <w:rPr>
          <w:rFonts w:ascii="Times New Roman" w:hAnsi="Times New Roman"/>
          <w:sz w:val="28"/>
          <w:szCs w:val="28"/>
        </w:rPr>
        <w:t>результаты которой отражены в заключении от</w:t>
      </w:r>
      <w:r w:rsidR="00731992">
        <w:rPr>
          <w:rFonts w:ascii="Times New Roman" w:hAnsi="Times New Roman"/>
          <w:sz w:val="28"/>
          <w:szCs w:val="28"/>
        </w:rPr>
        <w:t xml:space="preserve"> </w:t>
      </w:r>
      <w:r w:rsidR="00DA00FB">
        <w:rPr>
          <w:rFonts w:ascii="Times New Roman" w:hAnsi="Times New Roman"/>
          <w:sz w:val="28"/>
          <w:szCs w:val="28"/>
        </w:rPr>
        <w:t>29</w:t>
      </w:r>
      <w:r>
        <w:rPr>
          <w:rFonts w:ascii="Times New Roman" w:hAnsi="Times New Roman"/>
          <w:sz w:val="28"/>
          <w:szCs w:val="28"/>
        </w:rPr>
        <w:t>.0</w:t>
      </w:r>
      <w:r w:rsidR="00DA00FB">
        <w:rPr>
          <w:rFonts w:ascii="Times New Roman" w:hAnsi="Times New Roman"/>
          <w:sz w:val="28"/>
          <w:szCs w:val="28"/>
        </w:rPr>
        <w:t>3</w:t>
      </w:r>
      <w:r>
        <w:rPr>
          <w:rFonts w:ascii="Times New Roman" w:hAnsi="Times New Roman"/>
          <w:sz w:val="28"/>
          <w:szCs w:val="28"/>
        </w:rPr>
        <w:t>.202</w:t>
      </w:r>
      <w:r w:rsidR="00DA00FB">
        <w:rPr>
          <w:rFonts w:ascii="Times New Roman" w:hAnsi="Times New Roman"/>
          <w:sz w:val="28"/>
          <w:szCs w:val="28"/>
        </w:rPr>
        <w:t>4</w:t>
      </w:r>
      <w:r>
        <w:rPr>
          <w:rFonts w:ascii="Times New Roman" w:hAnsi="Times New Roman"/>
          <w:sz w:val="28"/>
          <w:szCs w:val="28"/>
        </w:rPr>
        <w:t xml:space="preserve"> №</w:t>
      </w:r>
      <w:r w:rsidR="00DA00FB">
        <w:rPr>
          <w:rFonts w:ascii="Times New Roman" w:hAnsi="Times New Roman"/>
          <w:sz w:val="28"/>
          <w:szCs w:val="28"/>
        </w:rPr>
        <w:t>36</w:t>
      </w:r>
      <w:r>
        <w:rPr>
          <w:rFonts w:ascii="Times New Roman" w:hAnsi="Times New Roman"/>
          <w:sz w:val="28"/>
          <w:szCs w:val="28"/>
        </w:rPr>
        <w:t>.</w:t>
      </w:r>
    </w:p>
    <w:p w14:paraId="2C2B8BA8" w14:textId="77777777" w:rsidR="0085276B" w:rsidRPr="004A4151" w:rsidRDefault="0085276B" w:rsidP="0085276B">
      <w:pPr>
        <w:spacing w:after="0" w:line="240" w:lineRule="auto"/>
        <w:ind w:firstLine="567"/>
        <w:jc w:val="both"/>
        <w:rPr>
          <w:rFonts w:ascii="Times New Roman" w:hAnsi="Times New Roman" w:cs="Times New Roman"/>
          <w:sz w:val="28"/>
          <w:szCs w:val="28"/>
        </w:rPr>
      </w:pPr>
      <w:r w:rsidRPr="003D035A">
        <w:rPr>
          <w:rFonts w:ascii="Times New Roman" w:hAnsi="Times New Roman" w:cs="Times New Roman"/>
          <w:sz w:val="28"/>
          <w:szCs w:val="28"/>
        </w:rPr>
        <w:t>Муниципальн</w:t>
      </w:r>
      <w:r>
        <w:rPr>
          <w:rFonts w:ascii="Times New Roman" w:hAnsi="Times New Roman" w:cs="Times New Roman"/>
          <w:sz w:val="28"/>
          <w:szCs w:val="28"/>
        </w:rPr>
        <w:t>ая</w:t>
      </w:r>
      <w:r w:rsidRPr="003D035A">
        <w:rPr>
          <w:rFonts w:ascii="Times New Roman" w:hAnsi="Times New Roman" w:cs="Times New Roman"/>
          <w:sz w:val="28"/>
          <w:szCs w:val="28"/>
        </w:rPr>
        <w:t xml:space="preserve"> программ</w:t>
      </w:r>
      <w:r>
        <w:rPr>
          <w:rFonts w:ascii="Times New Roman" w:hAnsi="Times New Roman" w:cs="Times New Roman"/>
          <w:sz w:val="28"/>
          <w:szCs w:val="28"/>
        </w:rPr>
        <w:t xml:space="preserve">а - </w:t>
      </w:r>
      <w:r w:rsidRPr="00846539">
        <w:rPr>
          <w:rFonts w:ascii="Times New Roman" w:hAnsi="Times New Roman" w:cs="Times New Roman"/>
          <w:sz w:val="28"/>
          <w:szCs w:val="28"/>
        </w:rPr>
        <w:t xml:space="preserve">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w:t>
      </w:r>
      <w:r>
        <w:rPr>
          <w:rFonts w:ascii="Times New Roman" w:hAnsi="Times New Roman" w:cs="Times New Roman"/>
          <w:sz w:val="28"/>
          <w:szCs w:val="28"/>
        </w:rPr>
        <w:t>муниципального образования.</w:t>
      </w:r>
    </w:p>
    <w:p w14:paraId="1D99716B" w14:textId="77777777" w:rsidR="0085276B" w:rsidRDefault="0085276B" w:rsidP="0085276B">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С</w:t>
      </w:r>
      <w:r w:rsidRPr="008D1260">
        <w:rPr>
          <w:rFonts w:ascii="Times New Roman" w:hAnsi="Times New Roman" w:cs="Times New Roman"/>
          <w:sz w:val="28"/>
          <w:szCs w:val="28"/>
        </w:rPr>
        <w:t>тать</w:t>
      </w:r>
      <w:r>
        <w:rPr>
          <w:rFonts w:ascii="Times New Roman" w:hAnsi="Times New Roman" w:cs="Times New Roman"/>
          <w:sz w:val="28"/>
          <w:szCs w:val="28"/>
        </w:rPr>
        <w:t>ей</w:t>
      </w:r>
      <w:r w:rsidRPr="008D1260">
        <w:rPr>
          <w:rFonts w:ascii="Times New Roman" w:hAnsi="Times New Roman" w:cs="Times New Roman"/>
          <w:sz w:val="28"/>
          <w:szCs w:val="28"/>
        </w:rPr>
        <w:t xml:space="preserve"> 179 Бюджетного кодекса </w:t>
      </w:r>
      <w:r>
        <w:rPr>
          <w:rFonts w:ascii="Times New Roman" w:hAnsi="Times New Roman" w:cs="Times New Roman"/>
          <w:sz w:val="28"/>
          <w:szCs w:val="28"/>
        </w:rPr>
        <w:t>РФ</w:t>
      </w:r>
      <w:r w:rsidRPr="008D1260">
        <w:rPr>
          <w:rFonts w:ascii="Times New Roman" w:hAnsi="Times New Roman" w:cs="Times New Roman"/>
          <w:sz w:val="28"/>
          <w:szCs w:val="28"/>
        </w:rPr>
        <w:t xml:space="preserve"> установл</w:t>
      </w:r>
      <w:r>
        <w:rPr>
          <w:rFonts w:ascii="Times New Roman" w:hAnsi="Times New Roman" w:cs="Times New Roman"/>
          <w:sz w:val="28"/>
          <w:szCs w:val="28"/>
        </w:rPr>
        <w:t>ены</w:t>
      </w:r>
      <w:r w:rsidRPr="008D1260">
        <w:rPr>
          <w:rFonts w:ascii="Times New Roman" w:hAnsi="Times New Roman" w:cs="Times New Roman"/>
          <w:sz w:val="28"/>
          <w:szCs w:val="28"/>
        </w:rPr>
        <w:t xml:space="preserve"> правовые основания для формирования муниципальных программ.</w:t>
      </w:r>
      <w:r>
        <w:rPr>
          <w:rFonts w:ascii="Times New Roman" w:hAnsi="Times New Roman" w:cs="Times New Roman"/>
          <w:sz w:val="28"/>
          <w:szCs w:val="28"/>
        </w:rPr>
        <w:t xml:space="preserve"> </w:t>
      </w:r>
    </w:p>
    <w:p w14:paraId="22A0D0FE" w14:textId="77777777" w:rsidR="0085276B" w:rsidRDefault="0085276B" w:rsidP="0085276B">
      <w:pPr>
        <w:spacing w:after="0" w:line="240" w:lineRule="auto"/>
        <w:ind w:firstLine="539"/>
        <w:jc w:val="both"/>
        <w:rPr>
          <w:rFonts w:ascii="Times New Roman" w:hAnsi="Times New Roman" w:cs="Times New Roman"/>
          <w:sz w:val="28"/>
          <w:szCs w:val="28"/>
        </w:rPr>
      </w:pPr>
      <w:r w:rsidRPr="003D035A">
        <w:rPr>
          <w:rFonts w:ascii="Times New Roman" w:hAnsi="Times New Roman" w:cs="Times New Roman"/>
          <w:sz w:val="28"/>
          <w:szCs w:val="28"/>
        </w:rPr>
        <w:t xml:space="preserve">Порядок разработки, реализации и оценки эффективности муниципальных программ Златоустовского городского округа утвержден постановлением Администрации Златоустовского городского округа от 23.06.2011 №252-п                   (далее – </w:t>
      </w:r>
      <w:bookmarkStart w:id="3" w:name="_Hlk143854227"/>
      <w:r w:rsidRPr="003D035A">
        <w:rPr>
          <w:rFonts w:ascii="Times New Roman" w:hAnsi="Times New Roman" w:cs="Times New Roman"/>
          <w:sz w:val="28"/>
          <w:szCs w:val="28"/>
        </w:rPr>
        <w:t>Порядок №252-п</w:t>
      </w:r>
      <w:bookmarkEnd w:id="3"/>
      <w:r w:rsidRPr="003D035A">
        <w:rPr>
          <w:rFonts w:ascii="Times New Roman" w:hAnsi="Times New Roman" w:cs="Times New Roman"/>
          <w:sz w:val="28"/>
          <w:szCs w:val="28"/>
        </w:rPr>
        <w:t>), где определены требования к муниципальным программам.</w:t>
      </w:r>
    </w:p>
    <w:p w14:paraId="796D1291" w14:textId="180F8C61" w:rsidR="00DA00FB" w:rsidRDefault="0085276B" w:rsidP="00DA00FB">
      <w:pPr>
        <w:spacing w:after="0" w:line="240" w:lineRule="auto"/>
        <w:ind w:firstLine="567"/>
        <w:contextualSpacing/>
        <w:jc w:val="both"/>
        <w:rPr>
          <w:rFonts w:ascii="Times New Roman" w:eastAsia="Calibri" w:hAnsi="Times New Roman" w:cs="Times New Roman"/>
          <w:sz w:val="28"/>
          <w:szCs w:val="28"/>
        </w:rPr>
      </w:pPr>
      <w:r w:rsidRPr="0085276B">
        <w:rPr>
          <w:rFonts w:ascii="Times New Roman" w:eastAsia="Calibri" w:hAnsi="Times New Roman" w:cs="Times New Roman"/>
          <w:sz w:val="28"/>
          <w:szCs w:val="28"/>
        </w:rPr>
        <w:t>Распоряжением Администрации ЗГО от 08.11.2012 №1951(1)-р                                 (с изменениями) утвержден Перечень муниципальных программ Златоустовского городского округа, одной из которых является Муниципальная программа «</w:t>
      </w:r>
      <w:r w:rsidR="00710D0B" w:rsidRPr="00710D0B">
        <w:rPr>
          <w:rFonts w:ascii="Times New Roman" w:eastAsia="Calibri" w:hAnsi="Times New Roman" w:cs="Times New Roman"/>
          <w:sz w:val="28"/>
          <w:szCs w:val="28"/>
        </w:rPr>
        <w:t>Обеспечение качественным жильем населения Златоустовского городского округа</w:t>
      </w:r>
      <w:r w:rsidRPr="0085276B">
        <w:rPr>
          <w:rFonts w:ascii="Times New Roman" w:eastAsia="Calibri" w:hAnsi="Times New Roman" w:cs="Times New Roman"/>
          <w:sz w:val="28"/>
          <w:szCs w:val="28"/>
        </w:rPr>
        <w:t>»</w:t>
      </w:r>
      <w:r w:rsidR="00DA00FB">
        <w:rPr>
          <w:rFonts w:ascii="Times New Roman" w:eastAsia="Calibri" w:hAnsi="Times New Roman" w:cs="Times New Roman"/>
          <w:sz w:val="28"/>
          <w:szCs w:val="28"/>
        </w:rPr>
        <w:t xml:space="preserve">, утвержденная </w:t>
      </w:r>
      <w:r w:rsidR="00DA00FB" w:rsidRPr="00DA00FB">
        <w:rPr>
          <w:rFonts w:ascii="Times New Roman" w:eastAsia="Calibri" w:hAnsi="Times New Roman" w:cs="Times New Roman"/>
          <w:sz w:val="28"/>
          <w:szCs w:val="28"/>
        </w:rPr>
        <w:t>постановлением Администрации Златоустовского городского округа от 06.12.2013 г. №505-П</w:t>
      </w:r>
      <w:r>
        <w:rPr>
          <w:rFonts w:ascii="Times New Roman" w:eastAsia="Calibri" w:hAnsi="Times New Roman" w:cs="Times New Roman"/>
          <w:sz w:val="28"/>
          <w:szCs w:val="28"/>
        </w:rPr>
        <w:t xml:space="preserve"> (далее – Муниципальная программа).</w:t>
      </w:r>
      <w:r w:rsidRPr="0085276B">
        <w:rPr>
          <w:rFonts w:ascii="Times New Roman" w:eastAsia="Calibri" w:hAnsi="Times New Roman" w:cs="Times New Roman"/>
          <w:sz w:val="28"/>
          <w:szCs w:val="28"/>
        </w:rPr>
        <w:t xml:space="preserve"> Ответственным исполнителем Муниципальной программы является </w:t>
      </w:r>
      <w:r w:rsidR="00DA00FB" w:rsidRPr="00DA00FB">
        <w:rPr>
          <w:rFonts w:ascii="Times New Roman" w:eastAsia="Calibri" w:hAnsi="Times New Roman" w:cs="Times New Roman"/>
          <w:sz w:val="28"/>
          <w:szCs w:val="28"/>
        </w:rPr>
        <w:t xml:space="preserve">Администрация </w:t>
      </w:r>
      <w:r>
        <w:rPr>
          <w:rFonts w:ascii="Times New Roman" w:eastAsia="Calibri" w:hAnsi="Times New Roman" w:cs="Times New Roman"/>
          <w:sz w:val="28"/>
          <w:szCs w:val="28"/>
        </w:rPr>
        <w:t>Златоустовского городского округа</w:t>
      </w:r>
      <w:r w:rsidRPr="0085276B">
        <w:rPr>
          <w:rFonts w:ascii="Times New Roman" w:eastAsia="Calibri" w:hAnsi="Times New Roman" w:cs="Times New Roman"/>
          <w:sz w:val="28"/>
          <w:szCs w:val="28"/>
        </w:rPr>
        <w:t xml:space="preserve">, </w:t>
      </w:r>
      <w:r w:rsidR="00DA00FB" w:rsidRPr="00DA00FB">
        <w:rPr>
          <w:rFonts w:ascii="Times New Roman" w:eastAsia="Calibri" w:hAnsi="Times New Roman" w:cs="Times New Roman"/>
          <w:sz w:val="28"/>
          <w:szCs w:val="28"/>
        </w:rPr>
        <w:t>соисполнител</w:t>
      </w:r>
      <w:r w:rsidR="00DA00FB">
        <w:rPr>
          <w:rFonts w:ascii="Times New Roman" w:eastAsia="Calibri" w:hAnsi="Times New Roman" w:cs="Times New Roman"/>
          <w:sz w:val="28"/>
          <w:szCs w:val="28"/>
        </w:rPr>
        <w:t>ь -</w:t>
      </w:r>
      <w:r w:rsidR="00DA00FB" w:rsidRPr="00DA00FB">
        <w:rPr>
          <w:rFonts w:ascii="Times New Roman" w:eastAsia="Calibri" w:hAnsi="Times New Roman" w:cs="Times New Roman"/>
          <w:sz w:val="28"/>
          <w:szCs w:val="28"/>
        </w:rPr>
        <w:t xml:space="preserve"> Орган местного самоуправления «Комитет по управлению имуществом Златоустовского городского округа»</w:t>
      </w:r>
      <w:r w:rsidR="00021649">
        <w:rPr>
          <w:rFonts w:ascii="Times New Roman" w:eastAsia="Calibri" w:hAnsi="Times New Roman" w:cs="Times New Roman"/>
          <w:sz w:val="28"/>
          <w:szCs w:val="28"/>
        </w:rPr>
        <w:t xml:space="preserve"> (далее – Комитет)</w:t>
      </w:r>
      <w:r w:rsidR="00DA00FB">
        <w:rPr>
          <w:rFonts w:ascii="Times New Roman" w:eastAsia="Calibri" w:hAnsi="Times New Roman" w:cs="Times New Roman"/>
          <w:sz w:val="28"/>
          <w:szCs w:val="28"/>
        </w:rPr>
        <w:t>.</w:t>
      </w:r>
    </w:p>
    <w:p w14:paraId="4D04B954" w14:textId="23BAB212" w:rsidR="00A145A6" w:rsidRPr="00A145A6" w:rsidRDefault="00A145A6" w:rsidP="00DA00FB">
      <w:pPr>
        <w:spacing w:after="0" w:line="240" w:lineRule="auto"/>
        <w:ind w:firstLine="567"/>
        <w:contextualSpacing/>
        <w:jc w:val="both"/>
        <w:rPr>
          <w:rFonts w:ascii="Times New Roman" w:hAnsi="Times New Roman" w:cs="Times New Roman"/>
          <w:bCs/>
          <w:sz w:val="28"/>
          <w:szCs w:val="28"/>
        </w:rPr>
      </w:pPr>
      <w:r w:rsidRPr="00A145A6">
        <w:rPr>
          <w:rFonts w:ascii="Times New Roman" w:hAnsi="Times New Roman" w:cs="Times New Roman"/>
          <w:sz w:val="28"/>
          <w:szCs w:val="28"/>
        </w:rPr>
        <w:t xml:space="preserve">Контрольно-счетной палатой ЗГО отмечено, что </w:t>
      </w:r>
      <w:r w:rsidR="00DA00FB">
        <w:rPr>
          <w:rFonts w:ascii="Times New Roman" w:hAnsi="Times New Roman" w:cs="Times New Roman"/>
          <w:sz w:val="28"/>
          <w:szCs w:val="28"/>
        </w:rPr>
        <w:t>Администрацией</w:t>
      </w:r>
      <w:r w:rsidRPr="00A145A6">
        <w:rPr>
          <w:rFonts w:ascii="Times New Roman" w:hAnsi="Times New Roman" w:cs="Times New Roman"/>
          <w:sz w:val="28"/>
          <w:szCs w:val="28"/>
        </w:rPr>
        <w:t xml:space="preserve"> Златоустовского городского округа в соответствии с требованиями </w:t>
      </w:r>
      <w:r w:rsidR="00DD498B">
        <w:rPr>
          <w:rFonts w:ascii="Times New Roman" w:hAnsi="Times New Roman" w:cs="Times New Roman"/>
          <w:sz w:val="28"/>
          <w:szCs w:val="28"/>
        </w:rPr>
        <w:t xml:space="preserve">                Порядка</w:t>
      </w:r>
      <w:r w:rsidRPr="00A145A6">
        <w:rPr>
          <w:rFonts w:ascii="Times New Roman" w:hAnsi="Times New Roman" w:cs="Times New Roman"/>
          <w:sz w:val="28"/>
          <w:szCs w:val="28"/>
        </w:rPr>
        <w:t xml:space="preserve"> №252-п доказано актуальное значение разработки и реализации Муниципальной программы. </w:t>
      </w:r>
      <w:r w:rsidRPr="00A145A6">
        <w:rPr>
          <w:rFonts w:ascii="Times New Roman" w:hAnsi="Times New Roman" w:cs="Times New Roman"/>
          <w:bCs/>
          <w:sz w:val="28"/>
          <w:szCs w:val="28"/>
        </w:rPr>
        <w:t xml:space="preserve">Поставленные в Муниципальной программе цели </w:t>
      </w:r>
      <w:r w:rsidRPr="00A145A6">
        <w:rPr>
          <w:rFonts w:ascii="Times New Roman" w:hAnsi="Times New Roman" w:cs="Times New Roman"/>
          <w:bCs/>
          <w:sz w:val="28"/>
          <w:szCs w:val="28"/>
        </w:rPr>
        <w:lastRenderedPageBreak/>
        <w:t>и задачи соответствуют</w:t>
      </w:r>
      <w:r w:rsidRPr="00A145A6">
        <w:rPr>
          <w:rFonts w:ascii="Times New Roman" w:hAnsi="Times New Roman" w:cs="Times New Roman"/>
          <w:sz w:val="28"/>
          <w:szCs w:val="28"/>
        </w:rPr>
        <w:t xml:space="preserve"> сфере реализации Муниципальной программы, </w:t>
      </w:r>
      <w:r>
        <w:rPr>
          <w:rFonts w:ascii="Times New Roman" w:hAnsi="Times New Roman" w:cs="Times New Roman"/>
          <w:sz w:val="28"/>
          <w:szCs w:val="28"/>
        </w:rPr>
        <w:t xml:space="preserve">                      </w:t>
      </w:r>
      <w:r w:rsidRPr="00A145A6">
        <w:rPr>
          <w:rFonts w:ascii="Times New Roman" w:hAnsi="Times New Roman" w:cs="Times New Roman"/>
          <w:sz w:val="28"/>
          <w:szCs w:val="28"/>
        </w:rPr>
        <w:t>не допускают произвольного или неоднозначного толкования и соответствуют целям социально-экономического развития округа</w:t>
      </w:r>
      <w:r w:rsidRPr="00A145A6">
        <w:rPr>
          <w:rFonts w:ascii="Times New Roman" w:hAnsi="Times New Roman" w:cs="Times New Roman"/>
          <w:bCs/>
          <w:sz w:val="28"/>
          <w:szCs w:val="28"/>
        </w:rPr>
        <w:t xml:space="preserve">. </w:t>
      </w:r>
    </w:p>
    <w:p w14:paraId="45762869" w14:textId="4C4E193B" w:rsidR="0087762A" w:rsidRPr="0087762A" w:rsidRDefault="0087762A" w:rsidP="0087762A">
      <w:pPr>
        <w:spacing w:after="0" w:line="240" w:lineRule="auto"/>
        <w:ind w:firstLine="709"/>
        <w:jc w:val="both"/>
        <w:rPr>
          <w:rFonts w:ascii="Times New Roman" w:eastAsia="Calibri" w:hAnsi="Times New Roman" w:cs="Times New Roman"/>
          <w:sz w:val="28"/>
          <w:szCs w:val="28"/>
        </w:rPr>
      </w:pPr>
      <w:r w:rsidRPr="0087762A">
        <w:rPr>
          <w:rFonts w:ascii="Times New Roman" w:eastAsia="Calibri" w:hAnsi="Times New Roman" w:cs="Times New Roman"/>
          <w:sz w:val="28"/>
          <w:szCs w:val="28"/>
        </w:rPr>
        <w:t>В результате проведения экспертизы Муниципальной программы Контрольно-счетной палатой ЗГО установлены недостатки и нарушения Порядка №252-п:</w:t>
      </w:r>
    </w:p>
    <w:p w14:paraId="60F928EC" w14:textId="173D2DB5" w:rsidR="0087762A" w:rsidRPr="0087762A" w:rsidRDefault="0087762A" w:rsidP="0087762A">
      <w:pPr>
        <w:numPr>
          <w:ilvl w:val="0"/>
          <w:numId w:val="2"/>
        </w:numPr>
        <w:spacing w:after="0" w:line="240" w:lineRule="auto"/>
        <w:ind w:left="0" w:firstLine="709"/>
        <w:contextualSpacing/>
        <w:jc w:val="both"/>
        <w:rPr>
          <w:rFonts w:ascii="Times New Roman" w:eastAsia="Calibri" w:hAnsi="Times New Roman" w:cs="Times New Roman"/>
          <w:sz w:val="28"/>
          <w:szCs w:val="28"/>
        </w:rPr>
      </w:pPr>
      <w:bookmarkStart w:id="4" w:name="_Hlk162876215"/>
      <w:bookmarkStart w:id="5" w:name="_Hlk162875664"/>
      <w:r w:rsidRPr="0087762A">
        <w:rPr>
          <w:rFonts w:ascii="Times New Roman" w:eastAsia="Calibri" w:hAnsi="Times New Roman" w:cs="Times New Roman"/>
          <w:sz w:val="28"/>
          <w:szCs w:val="28"/>
        </w:rPr>
        <w:t xml:space="preserve">В Перечне муниципальных программ не указан соисполнитель Муниципальной программы </w:t>
      </w:r>
      <w:r w:rsidR="00021649">
        <w:rPr>
          <w:rFonts w:ascii="Times New Roman" w:eastAsia="Calibri" w:hAnsi="Times New Roman" w:cs="Times New Roman"/>
          <w:sz w:val="28"/>
          <w:szCs w:val="28"/>
        </w:rPr>
        <w:t>–</w:t>
      </w:r>
      <w:r w:rsidRPr="0087762A">
        <w:rPr>
          <w:rFonts w:ascii="Times New Roman" w:eastAsia="Calibri" w:hAnsi="Times New Roman" w:cs="Times New Roman"/>
          <w:sz w:val="28"/>
          <w:szCs w:val="28"/>
        </w:rPr>
        <w:t xml:space="preserve"> Комите</w:t>
      </w:r>
      <w:r w:rsidR="00021649">
        <w:rPr>
          <w:rFonts w:ascii="Times New Roman" w:eastAsia="Calibri" w:hAnsi="Times New Roman" w:cs="Times New Roman"/>
          <w:sz w:val="28"/>
          <w:szCs w:val="28"/>
        </w:rPr>
        <w:t xml:space="preserve">т. </w:t>
      </w:r>
      <w:r w:rsidRPr="0087762A">
        <w:rPr>
          <w:rFonts w:ascii="Times New Roman" w:eastAsia="Calibri" w:hAnsi="Times New Roman" w:cs="Times New Roman"/>
          <w:sz w:val="28"/>
          <w:szCs w:val="28"/>
        </w:rPr>
        <w:t>Таким образом, установлена несогласованность содержания муниципальных правовых актов</w:t>
      </w:r>
      <w:bookmarkEnd w:id="4"/>
      <w:r w:rsidR="00DD498B">
        <w:rPr>
          <w:rFonts w:ascii="Times New Roman" w:eastAsia="Calibri" w:hAnsi="Times New Roman" w:cs="Times New Roman"/>
          <w:sz w:val="28"/>
          <w:szCs w:val="28"/>
        </w:rPr>
        <w:t>;</w:t>
      </w:r>
    </w:p>
    <w:p w14:paraId="51A3CB56" w14:textId="7ACC444F" w:rsidR="0087762A" w:rsidRPr="0087762A" w:rsidRDefault="0087762A" w:rsidP="0087762A">
      <w:pPr>
        <w:numPr>
          <w:ilvl w:val="0"/>
          <w:numId w:val="2"/>
        </w:numPr>
        <w:spacing w:after="0" w:line="240" w:lineRule="auto"/>
        <w:ind w:left="0" w:firstLine="709"/>
        <w:contextualSpacing/>
        <w:jc w:val="both"/>
        <w:rPr>
          <w:rFonts w:ascii="Times New Roman" w:eastAsia="Calibri" w:hAnsi="Times New Roman" w:cs="Times New Roman"/>
          <w:sz w:val="28"/>
          <w:szCs w:val="28"/>
        </w:rPr>
      </w:pPr>
      <w:r w:rsidRPr="0087762A">
        <w:rPr>
          <w:rFonts w:ascii="Times New Roman" w:eastAsia="Calibri" w:hAnsi="Times New Roman" w:cs="Times New Roman"/>
          <w:sz w:val="28"/>
          <w:szCs w:val="28"/>
        </w:rPr>
        <w:t>Целевой показатель (индикатор) «Количество разработанных проектов планировки и межевания территории» имеет некорректную единицу измерения</w:t>
      </w:r>
      <w:r w:rsidR="00021649">
        <w:rPr>
          <w:rFonts w:ascii="Times New Roman" w:eastAsia="Calibri" w:hAnsi="Times New Roman" w:cs="Times New Roman"/>
          <w:sz w:val="28"/>
          <w:szCs w:val="28"/>
        </w:rPr>
        <w:t>.</w:t>
      </w:r>
    </w:p>
    <w:p w14:paraId="13BC87C6" w14:textId="16919D0C" w:rsidR="0087762A" w:rsidRPr="0087762A" w:rsidRDefault="0087762A" w:rsidP="0087762A">
      <w:pPr>
        <w:numPr>
          <w:ilvl w:val="0"/>
          <w:numId w:val="2"/>
        </w:numPr>
        <w:spacing w:after="0" w:line="240" w:lineRule="auto"/>
        <w:ind w:left="0" w:firstLine="709"/>
        <w:contextualSpacing/>
        <w:jc w:val="both"/>
        <w:rPr>
          <w:rFonts w:ascii="Times New Roman" w:eastAsia="Calibri" w:hAnsi="Times New Roman" w:cs="Times New Roman"/>
          <w:sz w:val="28"/>
          <w:szCs w:val="28"/>
        </w:rPr>
      </w:pPr>
      <w:r w:rsidRPr="0087762A">
        <w:rPr>
          <w:rFonts w:ascii="Times New Roman" w:eastAsia="Calibri" w:hAnsi="Times New Roman" w:cs="Times New Roman"/>
          <w:sz w:val="28"/>
          <w:szCs w:val="28"/>
        </w:rPr>
        <w:t>Дополнение перечня целевых показателей (индикаторов) Муниципальной программы тремя показателями (переселение граждан из жилых помещений, признанных непригодными для проживания, (человек), расселение (помещение), уменьшение аварийного жилищного фонда Златоустовского городского округа (кв. метры) произведено несвоевременно. При этом, данные целевые показатели не учитывались при проведении оценки эффективности реализации Муниципальной программы за период 2013 –                   2023 годов</w:t>
      </w:r>
      <w:r w:rsidR="00021649">
        <w:rPr>
          <w:rFonts w:ascii="Times New Roman" w:eastAsia="Calibri" w:hAnsi="Times New Roman" w:cs="Times New Roman"/>
          <w:sz w:val="28"/>
          <w:szCs w:val="28"/>
        </w:rPr>
        <w:t>;</w:t>
      </w:r>
    </w:p>
    <w:p w14:paraId="42B16F20" w14:textId="6B42A0BC" w:rsidR="0087762A" w:rsidRPr="0087762A" w:rsidRDefault="0087762A" w:rsidP="0087762A">
      <w:pPr>
        <w:numPr>
          <w:ilvl w:val="0"/>
          <w:numId w:val="2"/>
        </w:numPr>
        <w:spacing w:after="0" w:line="240" w:lineRule="auto"/>
        <w:ind w:left="0" w:firstLine="709"/>
        <w:contextualSpacing/>
        <w:jc w:val="both"/>
        <w:rPr>
          <w:rFonts w:ascii="Times New Roman" w:eastAsia="Calibri" w:hAnsi="Times New Roman" w:cs="Times New Roman"/>
          <w:sz w:val="28"/>
          <w:szCs w:val="28"/>
        </w:rPr>
      </w:pPr>
      <w:r w:rsidRPr="0087762A">
        <w:rPr>
          <w:rFonts w:ascii="Times New Roman" w:eastAsia="Calibri" w:hAnsi="Times New Roman" w:cs="Times New Roman"/>
          <w:sz w:val="28"/>
          <w:szCs w:val="28"/>
        </w:rPr>
        <w:t>В нарушение требований к содержанию муниципальной программы, утвержденных Порядком №252-п, значения целевых показателей (переселение граждан из жилых помещений, признанных непригодными для проживания, (человек), расселение (помещение), уменьшение аварийного жилищного фонда Златоустовского городского округа (кв. метры) не сопоставлены с периодом (годом) их достижения;</w:t>
      </w:r>
    </w:p>
    <w:p w14:paraId="2C01014F" w14:textId="5B7FEE18" w:rsidR="0087762A" w:rsidRPr="0087762A" w:rsidRDefault="0087762A" w:rsidP="0087762A">
      <w:pPr>
        <w:numPr>
          <w:ilvl w:val="0"/>
          <w:numId w:val="2"/>
        </w:numPr>
        <w:spacing w:after="0" w:line="240" w:lineRule="auto"/>
        <w:ind w:left="0" w:firstLine="709"/>
        <w:contextualSpacing/>
        <w:jc w:val="both"/>
        <w:rPr>
          <w:rFonts w:ascii="Times New Roman" w:eastAsia="Calibri" w:hAnsi="Times New Roman" w:cs="Times New Roman"/>
          <w:sz w:val="28"/>
          <w:szCs w:val="28"/>
        </w:rPr>
      </w:pPr>
      <w:bookmarkStart w:id="6" w:name="_Hlk162792402"/>
      <w:r w:rsidRPr="0087762A">
        <w:rPr>
          <w:rFonts w:ascii="Times New Roman" w:eastAsia="Calibri" w:hAnsi="Times New Roman" w:cs="Times New Roman"/>
          <w:sz w:val="28"/>
          <w:szCs w:val="28"/>
        </w:rPr>
        <w:t>В нарушение пункта 14-4 Порядка №252-п в Муниципальную программу не включены целевые показатели (индикаторы), предусмотренные соглашениями с региональными органами исполнительной власти о предоставлении субсидий</w:t>
      </w:r>
      <w:bookmarkEnd w:id="6"/>
      <w:r w:rsidR="00021649">
        <w:rPr>
          <w:rFonts w:ascii="Times New Roman" w:eastAsia="Calibri" w:hAnsi="Times New Roman" w:cs="Times New Roman"/>
          <w:sz w:val="28"/>
          <w:szCs w:val="28"/>
        </w:rPr>
        <w:t>;</w:t>
      </w:r>
    </w:p>
    <w:p w14:paraId="3D9BEFA4" w14:textId="64406446" w:rsidR="0087762A" w:rsidRPr="0087762A" w:rsidRDefault="0087762A" w:rsidP="0087762A">
      <w:pPr>
        <w:numPr>
          <w:ilvl w:val="0"/>
          <w:numId w:val="2"/>
        </w:numPr>
        <w:spacing w:after="0" w:line="240" w:lineRule="auto"/>
        <w:ind w:left="0" w:firstLine="709"/>
        <w:contextualSpacing/>
        <w:jc w:val="both"/>
        <w:rPr>
          <w:rFonts w:ascii="Times New Roman" w:eastAsia="Calibri" w:hAnsi="Times New Roman" w:cs="Times New Roman"/>
          <w:sz w:val="28"/>
          <w:szCs w:val="28"/>
        </w:rPr>
      </w:pPr>
      <w:r w:rsidRPr="0087762A">
        <w:rPr>
          <w:rFonts w:ascii="Times New Roman" w:eastAsia="Calibri" w:hAnsi="Times New Roman" w:cs="Times New Roman"/>
          <w:sz w:val="28"/>
          <w:szCs w:val="28"/>
        </w:rPr>
        <w:t>Ожидаемые результаты Муниципальной программой (подпрограммы) полностью идентичны целевым индикаторам, что не соответствует понятию «ожидаемый результат» и противоречит требованиям Порядка №252-п</w:t>
      </w:r>
      <w:r w:rsidR="00021649">
        <w:rPr>
          <w:rFonts w:ascii="Times New Roman" w:eastAsia="Calibri" w:hAnsi="Times New Roman" w:cs="Times New Roman"/>
          <w:sz w:val="28"/>
          <w:szCs w:val="28"/>
        </w:rPr>
        <w:t>;</w:t>
      </w:r>
    </w:p>
    <w:p w14:paraId="22454C68" w14:textId="77777777" w:rsidR="0087762A" w:rsidRPr="0087762A" w:rsidRDefault="0087762A" w:rsidP="0087762A">
      <w:pPr>
        <w:numPr>
          <w:ilvl w:val="0"/>
          <w:numId w:val="2"/>
        </w:numPr>
        <w:spacing w:after="0" w:line="240" w:lineRule="auto"/>
        <w:ind w:left="0" w:firstLine="709"/>
        <w:contextualSpacing/>
        <w:jc w:val="both"/>
        <w:rPr>
          <w:rFonts w:ascii="Times New Roman" w:eastAsia="Calibri" w:hAnsi="Times New Roman" w:cs="Times New Roman"/>
          <w:sz w:val="28"/>
          <w:szCs w:val="28"/>
        </w:rPr>
      </w:pPr>
      <w:r w:rsidRPr="0087762A">
        <w:rPr>
          <w:rFonts w:ascii="Times New Roman" w:eastAsia="Calibri" w:hAnsi="Times New Roman" w:cs="Times New Roman"/>
          <w:sz w:val="28"/>
          <w:szCs w:val="28"/>
        </w:rPr>
        <w:t>Установлены факты недостоверности отчетов о реализации Муниципальной программы за период с 2020 года по 2023 год, в том числе:</w:t>
      </w:r>
    </w:p>
    <w:p w14:paraId="579105DA" w14:textId="47D5511B" w:rsidR="0087762A" w:rsidRPr="0087762A" w:rsidRDefault="0087762A" w:rsidP="0087762A">
      <w:pPr>
        <w:spacing w:after="0" w:line="240" w:lineRule="auto"/>
        <w:ind w:firstLine="709"/>
        <w:contextualSpacing/>
        <w:jc w:val="both"/>
        <w:rPr>
          <w:rFonts w:ascii="Times New Roman" w:eastAsia="Calibri" w:hAnsi="Times New Roman" w:cs="Times New Roman"/>
          <w:sz w:val="28"/>
          <w:szCs w:val="28"/>
        </w:rPr>
      </w:pPr>
      <w:r w:rsidRPr="0087762A">
        <w:rPr>
          <w:rFonts w:ascii="Times New Roman" w:eastAsia="Calibri" w:hAnsi="Times New Roman" w:cs="Times New Roman"/>
          <w:sz w:val="28"/>
          <w:szCs w:val="28"/>
        </w:rPr>
        <w:t>-  искажение отчета о реализации Муниципальной программы                          за 2020 год вследствие несвоевременного внесения изменений в Муниципальную программу в части уточнения значений индикативных показателей (после сдачи отчета о реализации Муниципальной программы) привело к недостоверной оценке эффективности использования бюджетных средств</w:t>
      </w:r>
      <w:r w:rsidR="00021649">
        <w:rPr>
          <w:rFonts w:ascii="Times New Roman" w:eastAsia="Calibri" w:hAnsi="Times New Roman" w:cs="Times New Roman"/>
          <w:sz w:val="28"/>
          <w:szCs w:val="28"/>
        </w:rPr>
        <w:t>;</w:t>
      </w:r>
    </w:p>
    <w:p w14:paraId="719A4E64" w14:textId="7EA40DEE" w:rsidR="0087762A" w:rsidRPr="0087762A" w:rsidRDefault="0087762A" w:rsidP="0087762A">
      <w:pPr>
        <w:spacing w:after="0" w:line="240" w:lineRule="auto"/>
        <w:ind w:firstLine="709"/>
        <w:contextualSpacing/>
        <w:jc w:val="both"/>
        <w:rPr>
          <w:rFonts w:ascii="Times New Roman" w:eastAsia="Calibri" w:hAnsi="Times New Roman" w:cs="Times New Roman"/>
          <w:bCs/>
          <w:sz w:val="28"/>
          <w:szCs w:val="28"/>
        </w:rPr>
      </w:pPr>
      <w:r w:rsidRPr="0087762A">
        <w:rPr>
          <w:rFonts w:ascii="Times New Roman" w:eastAsia="Calibri" w:hAnsi="Times New Roman" w:cs="Times New Roman"/>
          <w:sz w:val="28"/>
          <w:szCs w:val="28"/>
        </w:rPr>
        <w:t xml:space="preserve">- </w:t>
      </w:r>
      <w:r w:rsidRPr="0087762A">
        <w:rPr>
          <w:rFonts w:ascii="Times New Roman" w:eastAsia="Calibri" w:hAnsi="Times New Roman" w:cs="Times New Roman"/>
          <w:bCs/>
          <w:sz w:val="28"/>
          <w:szCs w:val="28"/>
        </w:rPr>
        <w:t xml:space="preserve">представленная информация не подтверждает </w:t>
      </w:r>
      <w:r w:rsidR="00021649">
        <w:rPr>
          <w:rFonts w:ascii="Times New Roman" w:eastAsia="Calibri" w:hAnsi="Times New Roman" w:cs="Times New Roman"/>
          <w:bCs/>
          <w:sz w:val="28"/>
          <w:szCs w:val="28"/>
        </w:rPr>
        <w:t xml:space="preserve">данные отчета за 2023 год по </w:t>
      </w:r>
      <w:r w:rsidRPr="0087762A">
        <w:rPr>
          <w:rFonts w:ascii="Times New Roman" w:eastAsia="Calibri" w:hAnsi="Times New Roman" w:cs="Times New Roman"/>
          <w:bCs/>
          <w:sz w:val="28"/>
          <w:szCs w:val="28"/>
        </w:rPr>
        <w:t>индикативно</w:t>
      </w:r>
      <w:r w:rsidR="00021649">
        <w:rPr>
          <w:rFonts w:ascii="Times New Roman" w:eastAsia="Calibri" w:hAnsi="Times New Roman" w:cs="Times New Roman"/>
          <w:bCs/>
          <w:sz w:val="28"/>
          <w:szCs w:val="28"/>
        </w:rPr>
        <w:t>му</w:t>
      </w:r>
      <w:r w:rsidRPr="0087762A">
        <w:rPr>
          <w:rFonts w:ascii="Times New Roman" w:eastAsia="Calibri" w:hAnsi="Times New Roman" w:cs="Times New Roman"/>
          <w:bCs/>
          <w:sz w:val="28"/>
          <w:szCs w:val="28"/>
        </w:rPr>
        <w:t xml:space="preserve"> показател</w:t>
      </w:r>
      <w:r w:rsidR="00021649">
        <w:rPr>
          <w:rFonts w:ascii="Times New Roman" w:eastAsia="Calibri" w:hAnsi="Times New Roman" w:cs="Times New Roman"/>
          <w:bCs/>
          <w:sz w:val="28"/>
          <w:szCs w:val="28"/>
        </w:rPr>
        <w:t>ю</w:t>
      </w:r>
      <w:r w:rsidRPr="0087762A">
        <w:rPr>
          <w:rFonts w:ascii="Times New Roman" w:eastAsia="Calibri" w:hAnsi="Times New Roman" w:cs="Times New Roman"/>
          <w:bCs/>
          <w:sz w:val="28"/>
          <w:szCs w:val="28"/>
        </w:rPr>
        <w:t xml:space="preserve"> «Площадь земельных участков, предоставленных на аукционах для строительства жилья, га»</w:t>
      </w:r>
      <w:r w:rsidR="00021649">
        <w:rPr>
          <w:rFonts w:ascii="Times New Roman" w:eastAsia="Calibri" w:hAnsi="Times New Roman" w:cs="Times New Roman"/>
          <w:bCs/>
          <w:sz w:val="28"/>
          <w:szCs w:val="28"/>
        </w:rPr>
        <w:t>;</w:t>
      </w:r>
    </w:p>
    <w:p w14:paraId="47BE3622" w14:textId="06AAC616" w:rsidR="0087762A" w:rsidRPr="0087762A" w:rsidRDefault="0087762A" w:rsidP="0087762A">
      <w:pPr>
        <w:spacing w:after="0" w:line="240" w:lineRule="auto"/>
        <w:ind w:firstLine="709"/>
        <w:contextualSpacing/>
        <w:jc w:val="both"/>
        <w:rPr>
          <w:rFonts w:ascii="Times New Roman" w:eastAsia="Calibri" w:hAnsi="Times New Roman" w:cs="Times New Roman"/>
          <w:bCs/>
          <w:sz w:val="28"/>
          <w:szCs w:val="28"/>
        </w:rPr>
      </w:pPr>
      <w:r w:rsidRPr="0087762A">
        <w:rPr>
          <w:rFonts w:ascii="Times New Roman" w:eastAsia="Calibri" w:hAnsi="Times New Roman" w:cs="Times New Roman"/>
          <w:bCs/>
          <w:sz w:val="28"/>
          <w:szCs w:val="28"/>
        </w:rPr>
        <w:t xml:space="preserve">- в отчетах о реализации Муниципальной программы за 2021г., 2022г., 2023г. указаны неподтвержденные данные </w:t>
      </w:r>
      <w:r w:rsidR="00021649">
        <w:rPr>
          <w:rFonts w:ascii="Times New Roman" w:eastAsia="Calibri" w:hAnsi="Times New Roman" w:cs="Times New Roman"/>
          <w:bCs/>
          <w:sz w:val="28"/>
          <w:szCs w:val="28"/>
        </w:rPr>
        <w:t>по</w:t>
      </w:r>
      <w:r w:rsidRPr="0087762A">
        <w:rPr>
          <w:rFonts w:ascii="Times New Roman" w:eastAsia="Calibri" w:hAnsi="Times New Roman" w:cs="Times New Roman"/>
          <w:bCs/>
          <w:sz w:val="28"/>
          <w:szCs w:val="28"/>
        </w:rPr>
        <w:t xml:space="preserve"> индикативно</w:t>
      </w:r>
      <w:r w:rsidR="00021649">
        <w:rPr>
          <w:rFonts w:ascii="Times New Roman" w:eastAsia="Calibri" w:hAnsi="Times New Roman" w:cs="Times New Roman"/>
          <w:bCs/>
          <w:sz w:val="28"/>
          <w:szCs w:val="28"/>
        </w:rPr>
        <w:t>му</w:t>
      </w:r>
      <w:r w:rsidRPr="0087762A">
        <w:rPr>
          <w:rFonts w:ascii="Times New Roman" w:eastAsia="Calibri" w:hAnsi="Times New Roman" w:cs="Times New Roman"/>
          <w:bCs/>
          <w:sz w:val="28"/>
          <w:szCs w:val="28"/>
        </w:rPr>
        <w:t xml:space="preserve"> показател</w:t>
      </w:r>
      <w:r w:rsidR="00021649">
        <w:rPr>
          <w:rFonts w:ascii="Times New Roman" w:eastAsia="Calibri" w:hAnsi="Times New Roman" w:cs="Times New Roman"/>
          <w:bCs/>
          <w:sz w:val="28"/>
          <w:szCs w:val="28"/>
        </w:rPr>
        <w:t>ю</w:t>
      </w:r>
      <w:r w:rsidRPr="0087762A">
        <w:rPr>
          <w:rFonts w:ascii="Times New Roman" w:eastAsia="Calibri" w:hAnsi="Times New Roman" w:cs="Times New Roman"/>
          <w:bCs/>
          <w:sz w:val="28"/>
          <w:szCs w:val="28"/>
        </w:rPr>
        <w:t xml:space="preserve"> </w:t>
      </w:r>
      <w:r w:rsidRPr="0087762A">
        <w:rPr>
          <w:rFonts w:ascii="Times New Roman" w:eastAsia="Calibri" w:hAnsi="Times New Roman" w:cs="Times New Roman"/>
          <w:bCs/>
          <w:sz w:val="28"/>
          <w:szCs w:val="28"/>
        </w:rPr>
        <w:lastRenderedPageBreak/>
        <w:t>«Количество граждан округа (семей), переселенных из ветхого и аварийного жилищного фонда в жилые помещения, отвечающие установленным санитарным и техническим требованиям, семья»</w:t>
      </w:r>
      <w:r w:rsidR="00021649">
        <w:rPr>
          <w:rFonts w:ascii="Times New Roman" w:eastAsia="Calibri" w:hAnsi="Times New Roman" w:cs="Times New Roman"/>
          <w:bCs/>
          <w:sz w:val="28"/>
          <w:szCs w:val="28"/>
        </w:rPr>
        <w:t>;</w:t>
      </w:r>
    </w:p>
    <w:p w14:paraId="672F8E17" w14:textId="7D06AA41" w:rsidR="0087762A" w:rsidRPr="0087762A" w:rsidRDefault="0087762A" w:rsidP="0087762A">
      <w:pPr>
        <w:spacing w:after="0" w:line="240" w:lineRule="auto"/>
        <w:ind w:firstLine="709"/>
        <w:contextualSpacing/>
        <w:jc w:val="both"/>
        <w:rPr>
          <w:rFonts w:ascii="Times New Roman" w:eastAsia="Calibri" w:hAnsi="Times New Roman" w:cs="Times New Roman"/>
          <w:bCs/>
          <w:sz w:val="28"/>
          <w:szCs w:val="28"/>
        </w:rPr>
      </w:pPr>
      <w:r w:rsidRPr="0087762A">
        <w:rPr>
          <w:rFonts w:ascii="Times New Roman" w:eastAsia="Calibri" w:hAnsi="Times New Roman" w:cs="Times New Roman"/>
          <w:bCs/>
          <w:sz w:val="28"/>
          <w:szCs w:val="28"/>
        </w:rPr>
        <w:t>-</w:t>
      </w:r>
      <w:r w:rsidRPr="0087762A">
        <w:rPr>
          <w:rFonts w:ascii="Calibri" w:eastAsia="Calibri" w:hAnsi="Calibri" w:cs="Times New Roman"/>
        </w:rPr>
        <w:t xml:space="preserve"> </w:t>
      </w:r>
      <w:r w:rsidRPr="0087762A">
        <w:rPr>
          <w:rFonts w:ascii="Times New Roman" w:eastAsia="Calibri" w:hAnsi="Times New Roman" w:cs="Times New Roman"/>
          <w:bCs/>
          <w:sz w:val="28"/>
          <w:szCs w:val="28"/>
        </w:rPr>
        <w:t>в отчетах о реализации Муниципальной программы за 2021 – 2022 годы указаны недостоверные (неподтвержденные) данные о достигнутых значениях индикативного показателя «Строительство и (или) приобретение жилья для переселения граждан, проживающих в помещениях, признанных непригодными для проживания, тыс. кв. м.»</w:t>
      </w:r>
      <w:bookmarkEnd w:id="5"/>
      <w:r w:rsidR="008F3F39">
        <w:rPr>
          <w:rFonts w:ascii="Times New Roman" w:eastAsia="Calibri" w:hAnsi="Times New Roman" w:cs="Times New Roman"/>
          <w:bCs/>
          <w:sz w:val="28"/>
          <w:szCs w:val="28"/>
        </w:rPr>
        <w:t>.</w:t>
      </w:r>
    </w:p>
    <w:p w14:paraId="090C9002" w14:textId="62B802B9" w:rsidR="00B30078" w:rsidRPr="00A145A6" w:rsidRDefault="00A145A6" w:rsidP="0087762A">
      <w:pPr>
        <w:spacing w:after="0" w:line="240" w:lineRule="auto"/>
        <w:ind w:firstLine="709"/>
        <w:jc w:val="both"/>
        <w:rPr>
          <w:rFonts w:ascii="Times New Roman" w:hAnsi="Times New Roman" w:cs="Times New Roman"/>
          <w:b/>
          <w:bCs/>
          <w:sz w:val="28"/>
          <w:szCs w:val="28"/>
        </w:rPr>
      </w:pPr>
      <w:r w:rsidRPr="00A145A6">
        <w:rPr>
          <w:rFonts w:ascii="Times New Roman" w:hAnsi="Times New Roman" w:cs="Times New Roman"/>
          <w:sz w:val="28"/>
          <w:szCs w:val="28"/>
        </w:rPr>
        <w:t xml:space="preserve">По результатам экспертно-аналитического мероприятия в адрес </w:t>
      </w:r>
      <w:r w:rsidR="008F3F39">
        <w:rPr>
          <w:rFonts w:ascii="Times New Roman" w:hAnsi="Times New Roman" w:cs="Times New Roman"/>
          <w:sz w:val="28"/>
          <w:szCs w:val="28"/>
        </w:rPr>
        <w:t>Администрации</w:t>
      </w:r>
      <w:r w:rsidRPr="00A145A6">
        <w:rPr>
          <w:rFonts w:ascii="Times New Roman" w:hAnsi="Times New Roman" w:cs="Times New Roman"/>
          <w:sz w:val="28"/>
          <w:szCs w:val="28"/>
        </w:rPr>
        <w:t xml:space="preserve"> Златоустовского городского округа направлены информационные письма с рекомендациями по устранению и недопущению выявленных нарушений и недостатков</w:t>
      </w:r>
      <w:r w:rsidR="000D6A5C">
        <w:rPr>
          <w:rFonts w:ascii="Times New Roman" w:hAnsi="Times New Roman" w:cs="Times New Roman"/>
          <w:sz w:val="28"/>
          <w:szCs w:val="28"/>
        </w:rPr>
        <w:t>.</w:t>
      </w:r>
      <w:bookmarkStart w:id="7" w:name="_GoBack"/>
      <w:bookmarkEnd w:id="7"/>
    </w:p>
    <w:p w14:paraId="1D98C724" w14:textId="41FD5D3D" w:rsidR="00A145A6" w:rsidRDefault="00A145A6" w:rsidP="0087762A">
      <w:pPr>
        <w:spacing w:after="0" w:line="240" w:lineRule="auto"/>
        <w:ind w:firstLine="709"/>
        <w:jc w:val="both"/>
        <w:rPr>
          <w:rFonts w:ascii="Times New Roman" w:hAnsi="Times New Roman" w:cs="Times New Roman"/>
          <w:sz w:val="28"/>
          <w:szCs w:val="28"/>
        </w:rPr>
      </w:pPr>
    </w:p>
    <w:p w14:paraId="22EFFB91" w14:textId="77777777" w:rsidR="00A145A6" w:rsidRDefault="00A145A6" w:rsidP="00C15B21">
      <w:pPr>
        <w:spacing w:after="0" w:line="240" w:lineRule="auto"/>
        <w:ind w:firstLine="567"/>
        <w:jc w:val="both"/>
        <w:rPr>
          <w:rFonts w:ascii="Times New Roman" w:hAnsi="Times New Roman" w:cs="Times New Roman"/>
          <w:sz w:val="28"/>
          <w:szCs w:val="28"/>
        </w:rPr>
      </w:pPr>
    </w:p>
    <w:p w14:paraId="5AE86004" w14:textId="77777777" w:rsidR="00B92E0F" w:rsidRDefault="00B92E0F" w:rsidP="00B92E0F">
      <w:pPr>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 С. Кальчук</w:t>
      </w:r>
    </w:p>
    <w:sectPr w:rsidR="00B92E0F" w:rsidSect="00D91679">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BACA9D" w14:textId="77777777" w:rsidR="00D91679" w:rsidRDefault="00D91679" w:rsidP="001E6951">
      <w:pPr>
        <w:spacing w:after="0" w:line="240" w:lineRule="auto"/>
      </w:pPr>
      <w:r>
        <w:separator/>
      </w:r>
    </w:p>
  </w:endnote>
  <w:endnote w:type="continuationSeparator" w:id="0">
    <w:p w14:paraId="03DCC11E" w14:textId="77777777" w:rsidR="00D91679" w:rsidRDefault="00D91679" w:rsidP="001E6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DBDAE1" w14:textId="77777777" w:rsidR="00D91679" w:rsidRDefault="00D91679" w:rsidP="001E6951">
      <w:pPr>
        <w:spacing w:after="0" w:line="240" w:lineRule="auto"/>
      </w:pPr>
      <w:r>
        <w:separator/>
      </w:r>
    </w:p>
  </w:footnote>
  <w:footnote w:type="continuationSeparator" w:id="0">
    <w:p w14:paraId="44356CAE" w14:textId="77777777" w:rsidR="00D91679" w:rsidRDefault="00D91679" w:rsidP="001E69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14AFD"/>
    <w:multiLevelType w:val="hybridMultilevel"/>
    <w:tmpl w:val="7466D534"/>
    <w:lvl w:ilvl="0" w:tplc="DE4CC350">
      <w:start w:val="1"/>
      <w:numFmt w:val="decimal"/>
      <w:suff w:val="space"/>
      <w:lvlText w:val="%1."/>
      <w:lvlJc w:val="left"/>
      <w:pPr>
        <w:ind w:left="375" w:hanging="375"/>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7492628C"/>
    <w:multiLevelType w:val="hybridMultilevel"/>
    <w:tmpl w:val="1D1657D6"/>
    <w:lvl w:ilvl="0" w:tplc="40B83CA8">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E0F"/>
    <w:rsid w:val="00016EAA"/>
    <w:rsid w:val="00021649"/>
    <w:rsid w:val="000B31B1"/>
    <w:rsid w:val="000D6A5C"/>
    <w:rsid w:val="001A0B65"/>
    <w:rsid w:val="001A5570"/>
    <w:rsid w:val="001B1D0F"/>
    <w:rsid w:val="001C0A27"/>
    <w:rsid w:val="001D533F"/>
    <w:rsid w:val="001E6951"/>
    <w:rsid w:val="00276F86"/>
    <w:rsid w:val="002B48F6"/>
    <w:rsid w:val="002C32E3"/>
    <w:rsid w:val="002C777C"/>
    <w:rsid w:val="002D1A74"/>
    <w:rsid w:val="002F7103"/>
    <w:rsid w:val="0032519F"/>
    <w:rsid w:val="00340E9E"/>
    <w:rsid w:val="003745E4"/>
    <w:rsid w:val="003841F2"/>
    <w:rsid w:val="00413F8A"/>
    <w:rsid w:val="00424A2F"/>
    <w:rsid w:val="00490EC5"/>
    <w:rsid w:val="004C7DCA"/>
    <w:rsid w:val="006E0EDF"/>
    <w:rsid w:val="00710D0B"/>
    <w:rsid w:val="00717770"/>
    <w:rsid w:val="00731992"/>
    <w:rsid w:val="00740A24"/>
    <w:rsid w:val="00756B57"/>
    <w:rsid w:val="00786528"/>
    <w:rsid w:val="007A6F0C"/>
    <w:rsid w:val="007D64D1"/>
    <w:rsid w:val="00821B07"/>
    <w:rsid w:val="0085276B"/>
    <w:rsid w:val="00860E3A"/>
    <w:rsid w:val="0087762A"/>
    <w:rsid w:val="00892643"/>
    <w:rsid w:val="008D3534"/>
    <w:rsid w:val="008D5E39"/>
    <w:rsid w:val="008F3F39"/>
    <w:rsid w:val="009F393F"/>
    <w:rsid w:val="00A145A6"/>
    <w:rsid w:val="00AD691C"/>
    <w:rsid w:val="00AF7A7B"/>
    <w:rsid w:val="00B27553"/>
    <w:rsid w:val="00B30078"/>
    <w:rsid w:val="00B92E0F"/>
    <w:rsid w:val="00BD6B12"/>
    <w:rsid w:val="00C02E89"/>
    <w:rsid w:val="00C15B21"/>
    <w:rsid w:val="00C337FB"/>
    <w:rsid w:val="00D44574"/>
    <w:rsid w:val="00D520EB"/>
    <w:rsid w:val="00D91679"/>
    <w:rsid w:val="00DA00FB"/>
    <w:rsid w:val="00DD498B"/>
    <w:rsid w:val="00EC2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D0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E0F"/>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6F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6F86"/>
    <w:rPr>
      <w:rFonts w:ascii="Tahoma" w:hAnsi="Tahoma" w:cs="Tahoma"/>
      <w:sz w:val="16"/>
      <w:szCs w:val="16"/>
    </w:rPr>
  </w:style>
  <w:style w:type="paragraph" w:styleId="a5">
    <w:name w:val="Normal (Web)"/>
    <w:basedOn w:val="a"/>
    <w:uiPriority w:val="99"/>
    <w:rsid w:val="001E6951"/>
    <w:pPr>
      <w:spacing w:after="0" w:line="240" w:lineRule="auto"/>
    </w:pPr>
    <w:rPr>
      <w:rFonts w:ascii="Verdana" w:eastAsia="Times New Roman" w:hAnsi="Verdana" w:cs="Times New Roman"/>
      <w:sz w:val="17"/>
      <w:szCs w:val="17"/>
      <w:lang w:eastAsia="ru-RU"/>
    </w:rPr>
  </w:style>
  <w:style w:type="paragraph" w:styleId="a6">
    <w:name w:val="footnote text"/>
    <w:basedOn w:val="a"/>
    <w:link w:val="a7"/>
    <w:uiPriority w:val="99"/>
    <w:unhideWhenUsed/>
    <w:rsid w:val="001E6951"/>
    <w:pPr>
      <w:spacing w:after="0" w:line="240" w:lineRule="auto"/>
    </w:pPr>
    <w:rPr>
      <w:sz w:val="20"/>
      <w:szCs w:val="20"/>
    </w:rPr>
  </w:style>
  <w:style w:type="character" w:customStyle="1" w:styleId="a7">
    <w:name w:val="Текст сноски Знак"/>
    <w:basedOn w:val="a0"/>
    <w:link w:val="a6"/>
    <w:uiPriority w:val="99"/>
    <w:rsid w:val="001E6951"/>
    <w:rPr>
      <w:sz w:val="20"/>
      <w:szCs w:val="20"/>
    </w:rPr>
  </w:style>
  <w:style w:type="character" w:styleId="a8">
    <w:name w:val="footnote reference"/>
    <w:basedOn w:val="a0"/>
    <w:uiPriority w:val="99"/>
    <w:semiHidden/>
    <w:unhideWhenUsed/>
    <w:rsid w:val="001E695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E0F"/>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6F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6F86"/>
    <w:rPr>
      <w:rFonts w:ascii="Tahoma" w:hAnsi="Tahoma" w:cs="Tahoma"/>
      <w:sz w:val="16"/>
      <w:szCs w:val="16"/>
    </w:rPr>
  </w:style>
  <w:style w:type="paragraph" w:styleId="a5">
    <w:name w:val="Normal (Web)"/>
    <w:basedOn w:val="a"/>
    <w:uiPriority w:val="99"/>
    <w:rsid w:val="001E6951"/>
    <w:pPr>
      <w:spacing w:after="0" w:line="240" w:lineRule="auto"/>
    </w:pPr>
    <w:rPr>
      <w:rFonts w:ascii="Verdana" w:eastAsia="Times New Roman" w:hAnsi="Verdana" w:cs="Times New Roman"/>
      <w:sz w:val="17"/>
      <w:szCs w:val="17"/>
      <w:lang w:eastAsia="ru-RU"/>
    </w:rPr>
  </w:style>
  <w:style w:type="paragraph" w:styleId="a6">
    <w:name w:val="footnote text"/>
    <w:basedOn w:val="a"/>
    <w:link w:val="a7"/>
    <w:uiPriority w:val="99"/>
    <w:unhideWhenUsed/>
    <w:rsid w:val="001E6951"/>
    <w:pPr>
      <w:spacing w:after="0" w:line="240" w:lineRule="auto"/>
    </w:pPr>
    <w:rPr>
      <w:sz w:val="20"/>
      <w:szCs w:val="20"/>
    </w:rPr>
  </w:style>
  <w:style w:type="character" w:customStyle="1" w:styleId="a7">
    <w:name w:val="Текст сноски Знак"/>
    <w:basedOn w:val="a0"/>
    <w:link w:val="a6"/>
    <w:uiPriority w:val="99"/>
    <w:rsid w:val="001E6951"/>
    <w:rPr>
      <w:sz w:val="20"/>
      <w:szCs w:val="20"/>
    </w:rPr>
  </w:style>
  <w:style w:type="character" w:styleId="a8">
    <w:name w:val="footnote reference"/>
    <w:basedOn w:val="a0"/>
    <w:uiPriority w:val="99"/>
    <w:semiHidden/>
    <w:unhideWhenUsed/>
    <w:rsid w:val="001E69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30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888</Words>
  <Characters>5064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cp:lastModifiedBy>
  <cp:revision>14</cp:revision>
  <cp:lastPrinted>2024-04-11T04:51:00Z</cp:lastPrinted>
  <dcterms:created xsi:type="dcterms:W3CDTF">2023-07-06T11:42:00Z</dcterms:created>
  <dcterms:modified xsi:type="dcterms:W3CDTF">2024-04-11T07:09:00Z</dcterms:modified>
</cp:coreProperties>
</file>